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26-223</w:t>
      </w:r>
    </w:p>
    <w:p>
      <w:pPr>
        <w:spacing w:before="0" w:after="0" w:line="480"/>
        <w:ind w:left="120"/>
        <w:jc w:val="left"/>
      </w:pPr>
    </w:p>
    <w:p>
      <w:pPr>
        <w:spacing w:before="0" w:after="0" w:line="480"/>
        <w:ind w:left="120"/>
        <w:jc w:val="center"/>
      </w:pPr>
      <w:r>
        <w:rPr>
          <w:rFonts w:ascii="Times New Roman" w:hAnsi="Times New Roman"/>
          <w:b/>
          <w:i w:val="false"/>
          <w:color w:val="000000"/>
          <w:sz w:val="28"/>
        </w:rPr>
        <w:t>CORRECTIONS DEPARTMENT[201]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201—Chapter 38</w:t>
      </w:r>
    </w:p>
    <w:p>
      <w:pPr>
        <w:spacing w:before="0" w:after="0" w:line="480"/>
        <w:ind w:left="120"/>
        <w:jc w:val="center"/>
      </w:pPr>
      <w:r>
        <w:rPr>
          <w:rFonts w:ascii="Times New Roman" w:hAnsi="Times New Roman"/>
          <w:b w:val="false"/>
          <w:i w:val="false"/>
          <w:color w:val="000000"/>
          <w:sz w:val="24"/>
        </w:rPr>
        <w:t>“Sex Offender Management and Treatment”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903B.10</w:t>
      </w:r>
    </w:p>
    <w:p>
      <w:pPr>
        <w:spacing w:before="0" w:after="0" w:line="480"/>
        <w:ind w:left="120"/>
        <w:jc w:val="both"/>
      </w:pPr>
      <w:r>
        <w:rPr>
          <w:rFonts w:ascii="Times New Roman" w:hAnsi="Times New Roman"/>
          <w:b w:val="false"/>
          <w:i w:val="false"/>
          <w:color w:val="000000"/>
          <w:sz w:val="24"/>
        </w:rPr>
        <w:t>State or federal law(s) implemented by the rulemaking: Iowa Code chapters 692A and 903B</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10:30 to 11:30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Google Meet</w:t>
            </w:r>
            <w:r>
              <w:br/>
            </w:r>
            <w:hyperlink r:id="rId4">
              <w:r>
                <w:rPr>
                  <w:rStyle w:val="Hyperlink"/>
                  <w:rFonts w:ascii="Times New Roman" w:hAnsi="Times New Roman"/>
                  <w:b w:val="false"/>
                  <w:i w:val="false"/>
                  <w:color w:val="0000ff"/>
                  <w:sz w:val="14"/>
                </w:rPr>
                <w:t>meet.google.com/ikd-tecb-vuh</w:t>
              </w:r>
            </w:hyperlink>
            <w:r>
              <w:br/>
            </w:r>
            <w:r>
              <w:rPr>
                <w:rFonts w:ascii="Times New Roman" w:hAnsi="Times New Roman"/>
                <w:b w:val="false"/>
                <w:i w:val="false"/>
                <w:color w:val="000000"/>
                <w:sz w:val="14"/>
              </w:rPr>
              <w:t>Or dial: 1.317.469.9645</w:t>
            </w:r>
            <w:r>
              <w:br/>
            </w:r>
            <w:r>
              <w:rPr>
                <w:rFonts w:ascii="Times New Roman" w:hAnsi="Times New Roman"/>
                <w:b w:val="false"/>
                <w:i w:val="false"/>
                <w:color w:val="000000"/>
                <w:sz w:val="14"/>
              </w:rPr>
              <w:t>PIN: ‪984 771 251#</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Corrections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Jen Rathje</w:t>
            </w:r>
            <w:r>
              <w:br/>
            </w:r>
            <w:r>
              <w:rPr>
                <w:rFonts w:ascii="Times New Roman" w:hAnsi="Times New Roman"/>
                <w:b w:val="false"/>
                <w:i w:val="false"/>
                <w:color w:val="000000"/>
                <w:sz w:val="14"/>
              </w:rPr>
              <w:t>Iowa Department of Corrections</w:t>
            </w:r>
            <w:r>
              <w:br/>
            </w:r>
            <w:r>
              <w:rPr>
                <w:rFonts w:ascii="Times New Roman" w:hAnsi="Times New Roman"/>
                <w:b w:val="false"/>
                <w:i w:val="false"/>
                <w:color w:val="000000"/>
                <w:sz w:val="14"/>
              </w:rPr>
              <w:t>Jessie Parker State Office Building</w:t>
            </w:r>
            <w:r>
              <w:br/>
            </w:r>
            <w:r>
              <w:rPr>
                <w:rFonts w:ascii="Times New Roman" w:hAnsi="Times New Roman"/>
                <w:b w:val="false"/>
                <w:i w:val="false"/>
                <w:color w:val="000000"/>
                <w:sz w:val="14"/>
              </w:rPr>
              <w:t xml:space="preserve">510 East 12th Street </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Phone: 515.802.0898</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jen.rathje1@iowa.gov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38 to fulfill the requirements of Executive Order 10. The intended benefit of Chapter 38 is public safety through the reduction of sexual recidivism. The chapter provides the necessary clinical and administrative frameworks to manage individuals under sex offender supervision, specifically addressing electronic tracking, pharmacological intervention, or both.</w:t>
      </w:r>
    </w:p>
    <w:p>
      <w:pPr>
        <w:spacing w:before="0" w:after="0" w:line="480"/>
        <w:ind w:left="120"/>
        <w:jc w:val="both"/>
      </w:pPr>
      <w:r>
        <w:rPr>
          <w:rFonts w:ascii="Times New Roman" w:hAnsi="Times New Roman"/>
          <w:b w:val="false"/>
          <w:i w:val="false"/>
          <w:color w:val="000000"/>
          <w:sz w:val="24"/>
        </w:rPr>
        <w:t>    Pursuant to Executive Order 10, the chapter was evaluated to realign the text with baseline regulatory drafting standards. Specifically, this rulemaking: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Removes former rule 201—38.3(692A) (rescinded in 2010) and sequentially renumbers the subsequent rule to maintain numerical continuity.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Removes text that duplicates provisions directly set forth in Iowa Code chapter 692A and sections 903B.10 and 915.17A.</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classes of persons will bear any additional costs from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general public, Department stakeholders, and community corrections staff will benefit from an updated regulatory chapter that omits a previously rescinded rule and aligns directly with the Iowa Code.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known quantitative or financial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known qualitative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 additional costs will be borne by any agency. The Department will still operate consistent with Iowa Code section 903B.10.</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Given the directive under Executive Order 10, inaction is not permissible. The benefit of the proposed rulemaking is a legally compliant chapter that removes obsolete or redundant text at no additional cost.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methods exist. Rulemaking is the legally required method to maintain an administrative framework that complies with the Iowa Code and the mandates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not considered because formal rulemaking is required to bring the chapter into compliance with Executive Order 10 directives.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201—Chapter 38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38</w:t>
      </w:r>
    </w:p>
    <w:p>
      <w:pPr>
        <w:spacing w:before="0" w:after="0" w:line="480"/>
        <w:ind w:left="120"/>
        <w:jc w:val="center"/>
      </w:pPr>
      <w:r>
        <w:rPr>
          <w:rFonts w:ascii="Times New Roman" w:hAnsi="Times New Roman"/>
          <w:b w:val="false"/>
          <w:i w:val="false"/>
          <w:color w:val="000000"/>
          <w:sz w:val="21"/>
        </w:rPr>
        <w:t>SEX OFFENDER MANAGEMENT AND TREATMENT</w:t>
      </w:r>
    </w:p>
    <w:p>
      <w:pPr>
        <w:spacing w:before="210" w:after="0" w:line="480"/>
        <w:ind w:left="120"/>
        <w:jc w:val="both"/>
      </w:pPr>
      <w:r>
        <w:rPr>
          <w:rFonts w:ascii="Times New Roman" w:hAnsi="Times New Roman"/>
          <w:b/>
          <w:i w:val="false"/>
          <w:color w:val="000000"/>
          <w:sz w:val="24"/>
        </w:rPr>
        <w:t>201—38.1</w:t>
      </w:r>
      <w:r>
        <w:rPr>
          <w:rFonts w:ascii="Times New Roman" w:hAnsi="Times New Roman"/>
          <w:b/>
          <w:i w:val="false"/>
          <w:color w:val="000000"/>
          <w:sz w:val="24"/>
        </w:rPr>
        <w:t xml:space="preserve">(692A,903B) </w:t>
      </w:r>
      <w:r>
        <w:rPr>
          <w:rFonts w:ascii="Times New Roman" w:hAnsi="Times New Roman"/>
          <w:b/>
          <w:i w:val="false"/>
          <w:color w:val="000000"/>
          <w:sz w:val="24"/>
        </w:rPr>
        <w:t xml:space="preserve">Application. </w:t>
      </w:r>
      <w:r>
        <w:rPr>
          <w:rFonts w:ascii="Times New Roman" w:hAnsi="Times New Roman"/>
          <w:b w:val="false"/>
          <w:i w:val="false"/>
          <w:color w:val="000000"/>
          <w:sz w:val="24"/>
        </w:rPr>
        <w:t>This chapter applies to sex offender electronic monitoring and hormonal intervention therapy.</w:t>
      </w:r>
    </w:p>
    <w:p>
      <w:pPr>
        <w:spacing w:before="0" w:after="0" w:line="480"/>
        <w:ind w:left="120"/>
        <w:jc w:val="both"/>
      </w:pPr>
      <w:r>
        <w:rPr>
          <w:rFonts w:ascii="Times New Roman" w:hAnsi="Times New Roman"/>
          <w:b/>
          <w:i w:val="false"/>
          <w:color w:val="000000"/>
          <w:sz w:val="24"/>
        </w:rPr>
        <w:t>201—38.2</w:t>
      </w:r>
      <w:r>
        <w:rPr>
          <w:rFonts w:ascii="Times New Roman" w:hAnsi="Times New Roman"/>
          <w:b/>
          <w:i w:val="false"/>
          <w:color w:val="000000"/>
          <w:sz w:val="24"/>
        </w:rPr>
        <w:t xml:space="preserve">(692A,903B) </w:t>
      </w:r>
      <w:r>
        <w:rPr>
          <w:rFonts w:ascii="Times New Roman" w:hAnsi="Times New Roman"/>
          <w:b/>
          <w:i w:val="false"/>
          <w:color w:val="000000"/>
          <w:sz w:val="24"/>
        </w:rPr>
        <w:t xml:space="preserve">Electronic monitoring. </w:t>
      </w:r>
      <w:r>
        <w:rPr>
          <w:rFonts w:ascii="Times New Roman" w:hAnsi="Times New Roman"/>
          <w:b w:val="false"/>
          <w:i w:val="false"/>
          <w:color w:val="000000"/>
          <w:sz w:val="24"/>
        </w:rPr>
        <w:t xml:space="preserve">It is the intent of the department of corrections that the electronic monitoring system (EMS) will be used to enhance public safety. Appropriate levels of EMS should be used to verify the location and restrict the movement of sex offenders in accordance with the provisions of Iowa Code section </w:t>
      </w:r>
      <w:hyperlink r:id="rId6">
        <w:r>
          <w:rPr>
            <w:rStyle w:val="Hyperlink"/>
            <w:rFonts w:ascii="Times New Roman" w:hAnsi="Times New Roman"/>
            <w:b w:val="false"/>
            <w:i w:val="false"/>
            <w:color w:val="000000"/>
            <w:sz w:val="24"/>
          </w:rPr>
          <w:t>692A.124(2)</w:t>
        </w:r>
      </w:hyperlink>
      <w:r>
        <w:rPr>
          <w:rFonts w:ascii="Times New Roman" w:hAnsi="Times New Roman"/>
          <w:b w:val="false"/>
          <w:i w:val="false"/>
          <w:color w:val="000000"/>
          <w:sz w:val="24"/>
        </w:rPr>
        <w:t>. EMS is additionally governed by the provisions of department of corrections policies OP-SOP-06, CBC-15, and CBC-HRU-04.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is required to register with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“Electronic monitoring system”</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“EMS”</w:t>
      </w:r>
      <w:r>
        <w:rPr>
          <w:rFonts w:ascii="Times New Roman" w:hAnsi="Times New Roman"/>
          <w:b w:val="false"/>
          <w:i/>
          <w:color w:val="000000"/>
          <w:sz w:val="24"/>
          <w:u w:val="single"/>
        </w:rPr>
        <w:t> </w:t>
      </w:r>
      <w:r>
        <w:rPr>
          <w:rFonts w:ascii="Times New Roman" w:hAnsi="Times New Roman"/>
          <w:b w:val="false"/>
          <w:i w:val="false"/>
          <w:color w:val="000000"/>
          <w:sz w:val="24"/>
        </w:rPr>
        <w:t>is a term used collectively for technology that determines the location of clients who have restricted movement while being supervised in their respective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38.2(2)</w:t>
      </w:r>
      <w:r>
        <w:rPr>
          <w:rFonts w:ascii="Times New Roman" w:hAnsi="Times New Roman"/>
          <w:b w:val="false"/>
          <w:i w:val="false"/>
          <w:color w:val="000000"/>
          <w:sz w:val="24"/>
        </w:rPr>
        <w:t> </w:t>
      </w:r>
      <w:r>
        <w:rPr>
          <w:rFonts w:ascii="Times New Roman" w:hAnsi="Times New Roman"/>
          <w:b w:val="false"/>
          <w:i/>
          <w:color w:val="000000"/>
          <w:sz w:val="24"/>
        </w:rPr>
        <w:t xml:space="preserve">Selection of clients for EMS. </w:t>
      </w:r>
      <w:r>
        <w:rPr>
          <w:rFonts w:ascii="Times New Roman" w:hAnsi="Times New Roman"/>
          <w:b w:val="false"/>
          <w:i w:val="false"/>
          <w:color w:val="000000"/>
          <w:sz w:val="24"/>
        </w:rPr>
        <w:t xml:space="preserve">All clients on supervision for a current sex offense who are required to be registered as a sex offender under Iowa Code chapter </w:t>
      </w:r>
      <w:hyperlink r:id="rId7">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 xml:space="preserve"> may be placed on EMS immediately after assignment to supervision. This level may be changed based on risk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38.2(3)</w:t>
      </w:r>
      <w:r>
        <w:rPr>
          <w:rFonts w:ascii="Times New Roman" w:hAnsi="Times New Roman"/>
          <w:b w:val="false"/>
          <w:i w:val="false"/>
          <w:color w:val="000000"/>
          <w:sz w:val="24"/>
        </w:rPr>
        <w:t> </w:t>
      </w:r>
      <w:r>
        <w:rPr>
          <w:rFonts w:ascii="Times New Roman" w:hAnsi="Times New Roman"/>
          <w:b w:val="false"/>
          <w:i/>
          <w:color w:val="000000"/>
          <w:sz w:val="24"/>
        </w:rPr>
        <w:t xml:space="preserve">Risk assessment instrument. </w:t>
      </w:r>
      <w:r>
        <w:rPr>
          <w:rFonts w:ascii="Times New Roman" w:hAnsi="Times New Roman"/>
          <w:b w:val="false"/>
          <w:i w:val="false"/>
          <w:color w:val="000000"/>
          <w:sz w:val="24"/>
        </w:rPr>
        <w:t>Districts will use the statewide approved and validated risk/needs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38.2(4)</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victims. </w:t>
      </w:r>
      <w:r>
        <w:rPr>
          <w:rFonts w:ascii="Times New Roman" w:hAnsi="Times New Roman"/>
          <w:b w:val="false"/>
          <w:i w:val="false"/>
          <w:color w:val="000000"/>
          <w:sz w:val="24"/>
        </w:rPr>
        <w:t xml:space="preserve">The department of corrections shall notify a registered victim regarding a sex offender in accordance with the provisions of Iowa Code section </w:t>
      </w:r>
      <w:hyperlink r:id="rId8">
        <w:r>
          <w:rPr>
            <w:rStyle w:val="Hyperlink"/>
            <w:rFonts w:ascii="Times New Roman" w:hAnsi="Times New Roman"/>
            <w:b w:val="false"/>
            <w:i w:val="false"/>
            <w:color w:val="000000"/>
            <w:sz w:val="24"/>
          </w:rPr>
          <w:t>915.17A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38.2(5)</w:t>
      </w:r>
      <w:r>
        <w:rPr>
          <w:rFonts w:ascii="Times New Roman" w:hAnsi="Times New Roman"/>
          <w:b w:val="false"/>
          <w:i w:val="false"/>
          <w:color w:val="000000"/>
          <w:sz w:val="24"/>
        </w:rPr>
        <w:t> </w:t>
      </w:r>
      <w:r>
        <w:rPr>
          <w:rFonts w:ascii="Times New Roman" w:hAnsi="Times New Roman"/>
          <w:b w:val="false"/>
          <w:i/>
          <w:color w:val="000000"/>
          <w:sz w:val="24"/>
        </w:rPr>
        <w:t xml:space="preserve">Additional rules. </w:t>
      </w:r>
      <w:r>
        <w:rPr>
          <w:rFonts w:ascii="Times New Roman" w:hAnsi="Times New Roman"/>
          <w:b w:val="false"/>
          <w:i w:val="false"/>
          <w:color w:val="000000"/>
          <w:sz w:val="24"/>
        </w:rPr>
        <w:t xml:space="preserve">The department of public safety’s rules regarding the Iowa sex offender registry are contained in </w:t>
      </w:r>
      <w:hyperlink r:id="rId9">
        <w:r>
          <w:rPr>
            <w:rStyle w:val="Hyperlink"/>
            <w:rFonts w:ascii="Times New Roman" w:hAnsi="Times New Roman"/>
            <w:b w:val="false"/>
            <w:i w:val="false"/>
            <w:color w:val="000000"/>
            <w:sz w:val="24"/>
          </w:rPr>
          <w:t>661—Chapter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201—38.3</w:t>
      </w:r>
      <w:r>
        <w:rPr>
          <w:rFonts w:ascii="Times New Roman" w:hAnsi="Times New Roman"/>
          <w:b/>
          <w:i w:val="false"/>
          <w:color w:val="000000"/>
          <w:sz w:val="24"/>
        </w:rPr>
        <w:t xml:space="preserve">(903B) </w:t>
      </w:r>
      <w:r>
        <w:rPr>
          <w:rFonts w:ascii="Times New Roman" w:hAnsi="Times New Roman"/>
          <w:b/>
          <w:i w:val="false"/>
          <w:color w:val="000000"/>
          <w:sz w:val="24"/>
        </w:rPr>
        <w:t xml:space="preserve">Hormonal intervention therapy.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38.3(1)</w:t>
      </w:r>
      <w:r>
        <w:rPr>
          <w:rFonts w:ascii="Times New Roman" w:hAnsi="Times New Roman"/>
          <w:b w:val="false"/>
          <w:i w:val="false"/>
          <w:color w:val="000000"/>
          <w:sz w:val="24"/>
        </w:rPr>
        <w:t> </w:t>
      </w:r>
      <w:r>
        <w:rPr>
          <w:rFonts w:ascii="Times New Roman" w:hAnsi="Times New Roman"/>
          <w:b w:val="false"/>
          <w:i/>
          <w:color w:val="000000"/>
          <w:sz w:val="24"/>
        </w:rPr>
        <w:t xml:space="preserve">Affected clients. </w:t>
      </w:r>
      <w:r>
        <w:rPr>
          <w:rFonts w:ascii="Times New Roman" w:hAnsi="Times New Roman"/>
          <w:b w:val="false"/>
          <w:i w:val="false"/>
          <w:color w:val="000000"/>
          <w:sz w:val="24"/>
        </w:rPr>
        <w:t xml:space="preserve">All clients convicted of a serious sex offense in which the victim was a child who, at the time the offense was committed, was 12 years of age or younger; or clients convicted of a second or subsequent offense may be required to undergo hormonal intervention therapy as ordered by the court or board of parole in accordance with the provisions of Iowa Code section </w:t>
      </w:r>
      <w:hyperlink r:id="rId10">
        <w:r>
          <w:rPr>
            <w:rStyle w:val="Hyperlink"/>
            <w:rFonts w:ascii="Times New Roman" w:hAnsi="Times New Roman"/>
            <w:b w:val="false"/>
            <w:i w:val="false"/>
            <w:color w:val="000000"/>
            <w:sz w:val="24"/>
          </w:rPr>
          <w:t>903B.10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38.3(2)</w:t>
      </w:r>
      <w:r>
        <w:rPr>
          <w:rFonts w:ascii="Times New Roman" w:hAnsi="Times New Roman"/>
          <w:b w:val="false"/>
          <w:i w:val="false"/>
          <w:color w:val="000000"/>
          <w:sz w:val="24"/>
        </w:rPr>
        <w:t> </w:t>
      </w:r>
      <w:r>
        <w:rPr>
          <w:rFonts w:ascii="Times New Roman" w:hAnsi="Times New Roman"/>
          <w:b w:val="false"/>
          <w:i/>
          <w:color w:val="000000"/>
          <w:sz w:val="24"/>
        </w:rPr>
        <w:t xml:space="preserve">Agency responsibility. </w:t>
      </w:r>
      <w:r>
        <w:rPr>
          <w:rFonts w:ascii="Times New Roman" w:hAnsi="Times New Roman"/>
          <w:b w:val="false"/>
          <w:i w:val="false"/>
          <w:color w:val="000000"/>
          <w:sz w:val="24"/>
        </w:rPr>
        <w:t xml:space="preserve">The department of corrections’ and the board of parole’s responsibilities are defined in accordance with the provisions of Iowa Code section </w:t>
      </w:r>
      <w:hyperlink r:id="rId11">
        <w:r>
          <w:rPr>
            <w:rStyle w:val="Hyperlink"/>
            <w:rFonts w:ascii="Times New Roman" w:hAnsi="Times New Roman"/>
            <w:b w:val="false"/>
            <w:i w:val="false"/>
            <w:color w:val="000000"/>
            <w:sz w:val="24"/>
          </w:rPr>
          <w:t>903B.10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38.3(3)</w:t>
      </w:r>
      <w:r>
        <w:rPr>
          <w:rFonts w:ascii="Times New Roman" w:hAnsi="Times New Roman"/>
          <w:b w:val="false"/>
          <w:i w:val="false"/>
          <w:color w:val="000000"/>
          <w:sz w:val="24"/>
        </w:rPr>
        <w:t> </w:t>
      </w:r>
      <w:r>
        <w:rPr>
          <w:rFonts w:ascii="Times New Roman" w:hAnsi="Times New Roman"/>
          <w:b w:val="false"/>
          <w:i/>
          <w:color w:val="000000"/>
          <w:sz w:val="24"/>
        </w:rPr>
        <w:t xml:space="preserve">Assessment of affected clients.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Psychosexual assessment. </w:t>
      </w:r>
      <w:r>
        <w:rPr>
          <w:rFonts w:ascii="Times New Roman" w:hAnsi="Times New Roman"/>
          <w:b w:val="false"/>
          <w:i w:val="false"/>
          <w:color w:val="000000"/>
          <w:sz w:val="24"/>
        </w:rPr>
        <w:t>A psychosexual assessment will be conducted on all affected clients as a part of the presentence investigation (PSI) prior to sentencing or upon entry into community supervision or institutional placement if a referral for hormonal intervention therapy is being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psychosexual assessment will be conducted by or under the direction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licensed psychologist;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person specifically trained and experienced in the professional administration, scoring and interpretation of psychological tests (graduate level coursework in testing and assessment);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staff member who meets the experience and educational requirements of the department of administrative services or department of corrections behavioral health professional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psychosexual assessment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Evaluation of emotional and mental health stability.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IQ to measure cognitive, overall functioning, personality, impulsivity and judgment capability.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Measure of denial, minimization or distortions of deviant sexual characteristics.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Plethysmography, if clinically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assessment will follow the statewide standardized format and will include a determination as to the need and effectiveness of hormonal intervention therapy as well as treatment recommendations.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Medical assessment. </w:t>
      </w:r>
      <w:r>
        <w:rPr>
          <w:rFonts w:ascii="Times New Roman" w:hAnsi="Times New Roman"/>
          <w:b w:val="false"/>
          <w:i w:val="false"/>
          <w:color w:val="000000"/>
          <w:sz w:val="24"/>
        </w:rPr>
        <w:t>If hormonal intervention therapy is recommended as an appropriate treatment component, the client will receive a medical assessment to determine biological factors as related to hormonal intervention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38.3(4)</w:t>
      </w:r>
      <w:r>
        <w:rPr>
          <w:rFonts w:ascii="Times New Roman" w:hAnsi="Times New Roman"/>
          <w:b w:val="false"/>
          <w:i w:val="false"/>
          <w:color w:val="000000"/>
          <w:sz w:val="24"/>
        </w:rPr>
        <w:t> </w:t>
      </w:r>
      <w:r>
        <w:rPr>
          <w:rFonts w:ascii="Times New Roman" w:hAnsi="Times New Roman"/>
          <w:b w:val="false"/>
          <w:i/>
          <w:color w:val="000000"/>
          <w:sz w:val="24"/>
        </w:rPr>
        <w:t xml:space="preserve">Pharmaceuticals and distribution. </w:t>
      </w:r>
      <w:r>
        <w:rPr>
          <w:rFonts w:ascii="Times New Roman" w:hAnsi="Times New Roman"/>
          <w:b w:val="false"/>
          <w:i w:val="false"/>
          <w:color w:val="000000"/>
          <w:sz w:val="24"/>
        </w:rPr>
        <w:t>The director of corrections may contract the purchase and distribution process to reduce pharmaceutical costs and ensure effective distribution and management of all pharmaceuticals related to the hormonal therapy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38.3(5)</w:t>
      </w:r>
      <w:r>
        <w:rPr>
          <w:rFonts w:ascii="Times New Roman" w:hAnsi="Times New Roman"/>
          <w:b w:val="false"/>
          <w:i w:val="false"/>
          <w:color w:val="000000"/>
          <w:sz w:val="24"/>
        </w:rPr>
        <w:t> </w:t>
      </w:r>
      <w:r>
        <w:rPr>
          <w:rFonts w:ascii="Times New Roman" w:hAnsi="Times New Roman"/>
          <w:b w:val="false"/>
          <w:i/>
          <w:color w:val="000000"/>
          <w:sz w:val="24"/>
        </w:rPr>
        <w:t xml:space="preserve">Educational/treatment programming.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Hormonal intervention therapy is to be utilized in conjunction with a sex offender treatment program (SOTP). The client should be involved in concurrent cognitive-behavioral treatment. In all cases where the treatment plan includes hormonal therapy, the plan will also include monitoring and counseling.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SOTPs will meet the current Iowa board for the treatment of sexual abusers (IBTSA)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38.3(6)</w:t>
      </w:r>
      <w:r>
        <w:rPr>
          <w:rFonts w:ascii="Times New Roman" w:hAnsi="Times New Roman"/>
          <w:b w:val="false"/>
          <w:i w:val="false"/>
          <w:color w:val="000000"/>
          <w:sz w:val="24"/>
        </w:rPr>
        <w:t> </w:t>
      </w:r>
      <w:r>
        <w:rPr>
          <w:rFonts w:ascii="Times New Roman" w:hAnsi="Times New Roman"/>
          <w:b w:val="false"/>
          <w:i/>
          <w:color w:val="000000"/>
          <w:sz w:val="24"/>
        </w:rPr>
        <w:t xml:space="preserve">Application of hormonal therapy.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Utilization of hormonal therapy.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Therapy will utilize medroxyprogesterone acetate (MPA) or other approved pharmaceutical agents.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Therapy will be initiated as soon as reasonably possible after the client is sentenced.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client is incarcerated within a local jurisdiction (jail, residential facility), the supervising district will coordinate initiation of treatment prior to the release of the client from custody.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client is incarcerated within a correctional institution, initiation of treatment will be determined by department of corrections medical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Requests for hormonal therapy by the client when the aforementioned criteria are not met will be reviewed for consideration by the agency of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At any time during the course of supervision, the agency of jurisdiction may conduct a reassessment to determine whether hormonal therapy should be considered or reconsidered as part of the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Monitoring/termination of hormonal therapy.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Monitoring. The agency of jurisdiction will continue to monitor the client’s therapy throughout the client’s confinement or supervision and may adjust medication, initiate other medication, or continue prescribed therapy with medical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Termination. Hormonal therapy may be discontinued only by the medical authority, with consent of the supervising officer. Termination requires a reassessment conclusion that the therapy has been determined ineffective or is no longer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38.3(7)</w:t>
      </w:r>
      <w:r>
        <w:rPr>
          <w:rFonts w:ascii="Times New Roman" w:hAnsi="Times New Roman"/>
          <w:b w:val="false"/>
          <w:i w:val="false"/>
          <w:color w:val="000000"/>
          <w:sz w:val="24"/>
        </w:rPr>
        <w:t> </w:t>
      </w:r>
      <w:r>
        <w:rPr>
          <w:rFonts w:ascii="Times New Roman" w:hAnsi="Times New Roman"/>
          <w:b w:val="false"/>
          <w:i/>
          <w:color w:val="000000"/>
          <w:sz w:val="24"/>
        </w:rPr>
        <w:t xml:space="preserve">Client fees. </w:t>
      </w:r>
      <w:r>
        <w:rPr>
          <w:rFonts w:ascii="Times New Roman" w:hAnsi="Times New Roman"/>
          <w:b w:val="false"/>
          <w:i w:val="false"/>
          <w:color w:val="000000"/>
          <w:sz w:val="24"/>
        </w:rPr>
        <w:t>Clients are responsible for the costs related to hormonal therapy. Client fees are based on the client’s ability to pay as determined by the statewide client fee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38.3(8)</w:t>
      </w:r>
      <w:r>
        <w:rPr>
          <w:rFonts w:ascii="Times New Roman" w:hAnsi="Times New Roman"/>
          <w:b w:val="false"/>
          <w:i w:val="false"/>
          <w:color w:val="000000"/>
          <w:sz w:val="24"/>
        </w:rPr>
        <w:t> </w:t>
      </w:r>
      <w:r>
        <w:rPr>
          <w:rFonts w:ascii="Times New Roman" w:hAnsi="Times New Roman"/>
          <w:b w:val="false"/>
          <w:i/>
          <w:color w:val="000000"/>
          <w:sz w:val="24"/>
        </w:rPr>
        <w:t xml:space="preserve">Maintenance/transfer of records. </w:t>
      </w:r>
      <w:r>
        <w:rPr>
          <w:rFonts w:ascii="Times New Roman" w:hAnsi="Times New Roman"/>
          <w:b w:val="false"/>
          <w:i w:val="false"/>
          <w:color w:val="000000"/>
          <w:sz w:val="24"/>
        </w:rPr>
        <w:t>Client file information will be available and shared upon request between responsible agencies, including court of jurisdiction.</w:t>
      </w:r>
    </w:p>
    <w:p>
      <w:pPr>
        <w:spacing w:before="0" w:after="0" w:line="480"/>
        <w:ind w:left="120"/>
        <w:jc w:val="both"/>
      </w:pPr>
      <w:r>
        <w:rPr>
          <w:rFonts w:ascii="Times New Roman" w:hAnsi="Times New Roman"/>
          <w:b w:val="false"/>
          <w:i w:val="false"/>
          <w:color w:val="000000"/>
          <w:sz w:val="24"/>
        </w:rPr>
        <w:t>These rules are intended to implement Iowa Code chapters </w:t>
      </w:r>
      <w:hyperlink r:id="rId12">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 and </w:t>
      </w:r>
      <w:hyperlink r:id="rId13">
        <w:r>
          <w:rPr>
            <w:rStyle w:val="Hyperlink"/>
            <w:rFonts w:ascii="Times New Roman" w:hAnsi="Times New Roman"/>
            <w:b w:val="false"/>
            <w:i w:val="false"/>
            <w:color w:val="000000"/>
            <w:sz w:val="24"/>
          </w:rPr>
          <w:t>903B</w:t>
        </w:r>
      </w:hyperlink>
      <w:r>
        <w:rPr>
          <w:rFonts w:ascii="Times New Roman" w:hAnsi="Times New Roman"/>
          <w:b w:val="false"/>
          <w:i w:val="false"/>
          <w:color w:val="000000"/>
          <w:sz w:val="24"/>
        </w:rPr>
        <w:t>.</w:t>
      </w:r>
    </w:p>
    <w:sectPr>
      <w:footerReference r:id="rId1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ikd-tecb-vuh" Type="http://schemas.openxmlformats.org/officeDocument/2006/relationships/hyperlink" Id="rId4"/>
    <Relationship TargetMode="External" Target="mailto:jen.rathje1@iowa.gov" Type="http://schemas.openxmlformats.org/officeDocument/2006/relationships/hyperlink" Id="rId5"/>
    <Relationship TargetMode="External" Target="https://www.legis.iowa.gov/docs/ico/chapter/692A.124.pdf" Type="http://schemas.openxmlformats.org/officeDocument/2006/relationships/hyperlink" Id="rId6"/>
    <Relationship TargetMode="External" Target="https://www.legis.iowa.gov/docs/ico/chapter/692A.pdf" Type="http://schemas.openxmlformats.org/officeDocument/2006/relationships/hyperlink" Id="rId7"/>
    <Relationship TargetMode="External" Target="https://www.legis.iowa.gov/docs/ico/chapter/915.17A.pdf" Type="http://schemas.openxmlformats.org/officeDocument/2006/relationships/hyperlink" Id="rId8"/>
    <Relationship TargetMode="External" Target="https://www.legis.iowa.gov/docs/iac/chapter/661.83.pdf" Type="http://schemas.openxmlformats.org/officeDocument/2006/relationships/hyperlink" Id="rId9"/>
    <Relationship TargetMode="External" Target="https://www.legis.iowa.gov/docs/ico/chapter/903B.10.pdf" Type="http://schemas.openxmlformats.org/officeDocument/2006/relationships/hyperlink" Id="rId10"/>
    <Relationship TargetMode="External" Target="https://www.legis.iowa.gov/docs/ico/chapter/903B.10.pdf" Type="http://schemas.openxmlformats.org/officeDocument/2006/relationships/hyperlink" Id="rId11"/>
    <Relationship TargetMode="External" Target="https://www.legis.iowa.gov/docs/ico/chapter/692A.pdf" Type="http://schemas.openxmlformats.org/officeDocument/2006/relationships/hyperlink" Id="rId12"/>
    <Relationship TargetMode="External" Target="https://www.legis.iowa.gov/docs/ico/chapter/903B.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